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EA6FC2">
        <w:rPr>
          <w:rFonts w:ascii="Times New Roman" w:hAnsi="Times New Roman" w:cs="Times New Roman"/>
          <w:b/>
          <w:sz w:val="24"/>
          <w:szCs w:val="24"/>
        </w:rPr>
        <w:t>1</w:t>
      </w:r>
      <w:r w:rsidR="00EF324D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097F91" w:rsidTr="005B0E23">
        <w:tc>
          <w:tcPr>
            <w:tcW w:w="2172" w:type="dxa"/>
          </w:tcPr>
          <w:p w:rsidR="00097F91" w:rsidRDefault="00097F9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097F91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97F91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097F91" w:rsidTr="005B0E23">
        <w:tc>
          <w:tcPr>
            <w:tcW w:w="2172" w:type="dxa"/>
          </w:tcPr>
          <w:p w:rsidR="00097F91" w:rsidRDefault="00097F9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097F91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97F91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097F91" w:rsidTr="005B0E23">
        <w:tc>
          <w:tcPr>
            <w:tcW w:w="2172" w:type="dxa"/>
          </w:tcPr>
          <w:p w:rsidR="00097F91" w:rsidRDefault="00097F9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097F91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097F91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097F91" w:rsidTr="005B0E23">
        <w:tc>
          <w:tcPr>
            <w:tcW w:w="2172" w:type="dxa"/>
          </w:tcPr>
          <w:p w:rsidR="00097F91" w:rsidRDefault="00097F9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097F91" w:rsidRDefault="00097F91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097F91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097F91" w:rsidTr="005B0E23">
        <w:tc>
          <w:tcPr>
            <w:tcW w:w="9639" w:type="dxa"/>
            <w:gridSpan w:val="3"/>
          </w:tcPr>
          <w:p w:rsidR="00097F91" w:rsidRPr="00F23497" w:rsidRDefault="00097F91" w:rsidP="005B0E23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97F91" w:rsidTr="005B0E23">
        <w:tc>
          <w:tcPr>
            <w:tcW w:w="2172" w:type="dxa"/>
          </w:tcPr>
          <w:p w:rsidR="00097F91" w:rsidRDefault="00097F9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097F91" w:rsidRDefault="00097F91" w:rsidP="005B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097F91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097F91" w:rsidRPr="00754862" w:rsidRDefault="00097F91" w:rsidP="00097F9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127"/>
        <w:gridCol w:w="425"/>
        <w:gridCol w:w="7087"/>
      </w:tblGrid>
      <w:tr w:rsidR="00097F91" w:rsidTr="00097F91">
        <w:tc>
          <w:tcPr>
            <w:tcW w:w="2127" w:type="dxa"/>
          </w:tcPr>
          <w:p w:rsidR="00097F91" w:rsidRPr="00771B79" w:rsidRDefault="00097F9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097F91" w:rsidRPr="00771B79" w:rsidRDefault="00097F9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097F91" w:rsidRPr="00771B79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97F91" w:rsidTr="00097F91">
        <w:tc>
          <w:tcPr>
            <w:tcW w:w="2127" w:type="dxa"/>
          </w:tcPr>
          <w:p w:rsidR="00097F91" w:rsidRDefault="00097F9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097F91" w:rsidRDefault="00097F9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097F91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97F91" w:rsidTr="00097F91">
        <w:tc>
          <w:tcPr>
            <w:tcW w:w="2127" w:type="dxa"/>
          </w:tcPr>
          <w:p w:rsidR="00097F91" w:rsidRPr="00C70192" w:rsidRDefault="009B4F4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097F91" w:rsidRDefault="00097F91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  <w:vAlign w:val="center"/>
          </w:tcPr>
          <w:p w:rsidR="00097F91" w:rsidRPr="00C70192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097F91" w:rsidTr="00097F91">
        <w:tc>
          <w:tcPr>
            <w:tcW w:w="2127" w:type="dxa"/>
          </w:tcPr>
          <w:p w:rsidR="00097F91" w:rsidRPr="00771B79" w:rsidRDefault="009B4F4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097F91" w:rsidRPr="00771B79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097F91" w:rsidRPr="00771B79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097F91" w:rsidTr="00097F91">
        <w:tc>
          <w:tcPr>
            <w:tcW w:w="2127" w:type="dxa"/>
          </w:tcPr>
          <w:p w:rsidR="00097F91" w:rsidRDefault="009B4F40" w:rsidP="005B0E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097F91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097F91" w:rsidRDefault="00097F91" w:rsidP="005B0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F40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B4F4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B4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4F4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B4F40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B4F40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9B4F40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217"/>
        <w:gridCol w:w="2834"/>
        <w:gridCol w:w="1060"/>
        <w:gridCol w:w="1701"/>
        <w:gridCol w:w="1842"/>
      </w:tblGrid>
      <w:tr w:rsidR="00957B85" w:rsidRPr="00957B85" w:rsidTr="00097F91">
        <w:trPr>
          <w:trHeight w:val="310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EF324D" w:rsidRPr="00327D11" w:rsidTr="00097F91">
        <w:trPr>
          <w:trHeight w:val="503"/>
        </w:trPr>
        <w:tc>
          <w:tcPr>
            <w:tcW w:w="2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4D" w:rsidRPr="009F3C77" w:rsidRDefault="00EF324D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>58:29:3001002:1920</w:t>
            </w:r>
          </w:p>
        </w:tc>
        <w:tc>
          <w:tcPr>
            <w:tcW w:w="2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324D" w:rsidRDefault="00EF324D" w:rsidP="007563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</w:p>
          <w:p w:rsidR="00EF324D" w:rsidRPr="009F3C77" w:rsidRDefault="00EF324D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5E7">
              <w:rPr>
                <w:rFonts w:ascii="Times New Roman" w:hAnsi="Times New Roman" w:cs="Times New Roman"/>
                <w:sz w:val="20"/>
                <w:szCs w:val="20"/>
              </w:rPr>
              <w:t>г. Пенза, ул. Совхоз-техникум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4D" w:rsidRPr="002F6C40" w:rsidRDefault="00EF324D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4D" w:rsidRPr="002F6C40" w:rsidRDefault="00EF324D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 xml:space="preserve">1 549 178,76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324D" w:rsidRPr="002F6C40" w:rsidRDefault="00EF324D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C40">
              <w:rPr>
                <w:rFonts w:ascii="Times New Roman" w:hAnsi="Times New Roman" w:cs="Times New Roman"/>
                <w:sz w:val="20"/>
                <w:szCs w:val="20"/>
              </w:rPr>
              <w:t xml:space="preserve">621 900,00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ОЦ-754/1-19 от 11.07.2019 года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EF324D" w:rsidRPr="00EF324D">
        <w:rPr>
          <w:rFonts w:ascii="Times New Roman" w:hAnsi="Times New Roman" w:cs="Times New Roman"/>
          <w:sz w:val="24"/>
          <w:szCs w:val="24"/>
        </w:rPr>
        <w:t>58:29:3001002:1920</w:t>
      </w:r>
      <w:r w:rsidR="00164A12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097F91" w:rsidRPr="004E7645" w:rsidRDefault="00097F91" w:rsidP="00097F91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097F91" w:rsidRPr="006B5697" w:rsidRDefault="00097F91" w:rsidP="00097F91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097F91" w:rsidRPr="006B5697" w:rsidRDefault="00097F91" w:rsidP="00097F91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097F91" w:rsidRDefault="00097F91" w:rsidP="00097F91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9B4F40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9B4F40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B4F40">
        <w:rPr>
          <w:rFonts w:ascii="Times New Roman" w:hAnsi="Times New Roman" w:cs="Times New Roman"/>
          <w:sz w:val="24"/>
          <w:szCs w:val="24"/>
        </w:rPr>
        <w:t xml:space="preserve"> ХХХ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 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EF324D" w:rsidRPr="00EF324D">
        <w:rPr>
          <w:rFonts w:ascii="Times New Roman" w:hAnsi="Times New Roman" w:cs="Times New Roman"/>
          <w:sz w:val="24"/>
          <w:szCs w:val="24"/>
        </w:rPr>
        <w:t>58:29:3001002:1920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EE48B2" w:rsidRDefault="00EE48B2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097F91" w:rsidRDefault="00097F91" w:rsidP="0009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>Выборка аналогов в разделе 12 «Анализ рынка в сегменте оцениваемого объекта» нерепрез</w:t>
      </w:r>
      <w:r>
        <w:rPr>
          <w:rFonts w:ascii="Times New Roman" w:hAnsi="Times New Roman" w:cs="Times New Roman"/>
          <w:sz w:val="24"/>
          <w:szCs w:val="24"/>
        </w:rPr>
        <w:t>ент</w:t>
      </w:r>
      <w:r w:rsidRPr="003579E8">
        <w:rPr>
          <w:rFonts w:ascii="Times New Roman" w:hAnsi="Times New Roman" w:cs="Times New Roman"/>
          <w:sz w:val="24"/>
          <w:szCs w:val="24"/>
        </w:rPr>
        <w:t xml:space="preserve">ативна. Оценщик представляет выборку из 6 предложений к продаже земельных участков под производственно-складскую застройку (три аналога впоследствии участвуют в расчетах),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 оцениваемым. Отсутствие необходимой информации не позволяет пользователю отчета проверить на соответствие рыночным данным результаты, полученные оценщиком.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38B9">
        <w:rPr>
          <w:rFonts w:ascii="Times New Roman" w:hAnsi="Times New Roman" w:cs="Times New Roman"/>
          <w:sz w:val="24"/>
          <w:szCs w:val="24"/>
        </w:rPr>
        <w:t>Нарушен п. 11 ФСО №7, п.5 ФСО №3.</w:t>
      </w:r>
    </w:p>
    <w:p w:rsidR="00097F91" w:rsidRPr="003579E8" w:rsidRDefault="00097F91" w:rsidP="0009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В отношении аналога №1 оценщиком в таблице указана дата его предложения 10 января 2017 г. (стр.26), однако в представленном объявлении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9E8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79E8">
        <w:rPr>
          <w:rFonts w:ascii="Times New Roman" w:hAnsi="Times New Roman" w:cs="Times New Roman"/>
          <w:sz w:val="24"/>
          <w:szCs w:val="24"/>
        </w:rPr>
        <w:t>сети Интернет сведения о дате предложения отсутствуют (стр.81), что ставит под сомнение утверждение оценщика, что предложения были актуальны на дату оценки 10 января 2017 г. г. Нарушение п.5 ФСО №3.</w:t>
      </w:r>
      <w:proofErr w:type="gramEnd"/>
    </w:p>
    <w:p w:rsidR="00097F91" w:rsidRPr="003579E8" w:rsidRDefault="00097F91" w:rsidP="00097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579E8">
        <w:rPr>
          <w:rFonts w:ascii="Times New Roman" w:hAnsi="Times New Roman" w:cs="Times New Roman"/>
          <w:sz w:val="24"/>
          <w:szCs w:val="24"/>
        </w:rPr>
        <w:t>Оценщик отказывается от рассмотрения в качестве аналогов объектов № 1,5,6 (стр. 25) первичной выборки, т.к. обладают инженерными коммуникациями в отличие от объекта оценки. Однако в качестве объектов аналогов используются участки с наличием коммуникаций. Отказ от использования части объектов аналогов не обоснован. Нарушение п.22в ФСО №7.</w:t>
      </w:r>
    </w:p>
    <w:p w:rsidR="00097F91" w:rsidRDefault="00097F91" w:rsidP="00097F9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3579E8">
        <w:rPr>
          <w:rFonts w:ascii="Times New Roman" w:hAnsi="Times New Roman" w:cs="Times New Roman"/>
          <w:sz w:val="24"/>
          <w:szCs w:val="24"/>
        </w:rPr>
        <w:t xml:space="preserve">Оценщик сделал вывод о том, что рынок земельных участков под индустриальную застройку в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. Пензе на дату оценки является неактивным. При этом рынок земельных участков под индустриальную застройку в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 xml:space="preserve">. Пенза можно назвать активным, т.к. он включает ликвидные объекты, характеризующиеся большим спросом. Кроме того, земельные участки под индустриальную застройку, расположенные в больших городах, согласно классификации, представленной в актуальном справочнике Л.А. </w:t>
      </w:r>
      <w:proofErr w:type="spellStart"/>
      <w:r w:rsidRPr="003579E8"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 w:rsidRPr="003579E8">
        <w:rPr>
          <w:rFonts w:ascii="Times New Roman" w:hAnsi="Times New Roman" w:cs="Times New Roman"/>
          <w:sz w:val="24"/>
          <w:szCs w:val="24"/>
        </w:rPr>
        <w:t xml:space="preserve"> «Справочник оценщика недвижимости – 2017. Земельные участки», относят к активному рынку. К числу таких городов можно отнести и </w:t>
      </w:r>
      <w:proofErr w:type="gramStart"/>
      <w:r w:rsidRPr="003579E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3579E8">
        <w:rPr>
          <w:rFonts w:ascii="Times New Roman" w:hAnsi="Times New Roman" w:cs="Times New Roman"/>
          <w:sz w:val="24"/>
          <w:szCs w:val="24"/>
        </w:rPr>
        <w:t>. Пенза, который является городом областного значения и образует муниципальное образование городской округ Пенза. В таком случае, корректировка на торг составит: 1-11,5% = 0,885, вместо 0,827 для неактивного рынка</w:t>
      </w:r>
      <w:r w:rsidRPr="003579E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DC6AE4">
        <w:rPr>
          <w:rFonts w:ascii="Times New Roman" w:hAnsi="Times New Roman" w:cs="Times New Roman"/>
          <w:sz w:val="24"/>
          <w:szCs w:val="24"/>
        </w:rPr>
        <w:t xml:space="preserve"> связи с </w:t>
      </w:r>
      <w:r>
        <w:rPr>
          <w:rFonts w:ascii="Times New Roman" w:hAnsi="Times New Roman" w:cs="Times New Roman"/>
          <w:sz w:val="24"/>
          <w:szCs w:val="24"/>
        </w:rPr>
        <w:t>этим</w:t>
      </w:r>
      <w:r w:rsidRPr="00DC6AE4">
        <w:rPr>
          <w:rFonts w:ascii="Times New Roman" w:hAnsi="Times New Roman" w:cs="Times New Roman"/>
          <w:sz w:val="24"/>
          <w:szCs w:val="24"/>
        </w:rPr>
        <w:t xml:space="preserve"> нарушается требование п.5 ФСО № 3, согласно которому содержание отчета об оценке не должно вводить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6AE4">
        <w:rPr>
          <w:rFonts w:ascii="Times New Roman" w:hAnsi="Times New Roman" w:cs="Times New Roman"/>
          <w:sz w:val="24"/>
          <w:szCs w:val="24"/>
        </w:rPr>
        <w:t>заблуждение пользователей отчета об оценке, а также допускать неоднозначного толкования. </w:t>
      </w: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97F91"/>
    <w:rsid w:val="000A06DC"/>
    <w:rsid w:val="000B134E"/>
    <w:rsid w:val="001249CD"/>
    <w:rsid w:val="00124F06"/>
    <w:rsid w:val="00125CAB"/>
    <w:rsid w:val="001269D3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41731"/>
    <w:rsid w:val="00242DDF"/>
    <w:rsid w:val="00251598"/>
    <w:rsid w:val="002559A8"/>
    <w:rsid w:val="00284D7F"/>
    <w:rsid w:val="00294BD7"/>
    <w:rsid w:val="002A429F"/>
    <w:rsid w:val="002C7BC2"/>
    <w:rsid w:val="00327A49"/>
    <w:rsid w:val="00327D11"/>
    <w:rsid w:val="003423B6"/>
    <w:rsid w:val="00367428"/>
    <w:rsid w:val="003E47A5"/>
    <w:rsid w:val="004032ED"/>
    <w:rsid w:val="004244DC"/>
    <w:rsid w:val="00450A3B"/>
    <w:rsid w:val="0046024A"/>
    <w:rsid w:val="00474E0C"/>
    <w:rsid w:val="004A336E"/>
    <w:rsid w:val="004A55BB"/>
    <w:rsid w:val="004B7673"/>
    <w:rsid w:val="004C02CD"/>
    <w:rsid w:val="004D3905"/>
    <w:rsid w:val="004E59A5"/>
    <w:rsid w:val="004F16A4"/>
    <w:rsid w:val="005173FD"/>
    <w:rsid w:val="005457F5"/>
    <w:rsid w:val="00547ECC"/>
    <w:rsid w:val="005617E7"/>
    <w:rsid w:val="00573B8F"/>
    <w:rsid w:val="00583AFE"/>
    <w:rsid w:val="005E341A"/>
    <w:rsid w:val="00622259"/>
    <w:rsid w:val="00636B49"/>
    <w:rsid w:val="00666952"/>
    <w:rsid w:val="00696865"/>
    <w:rsid w:val="006A57B9"/>
    <w:rsid w:val="006B373E"/>
    <w:rsid w:val="006D6969"/>
    <w:rsid w:val="006E00C9"/>
    <w:rsid w:val="006E027C"/>
    <w:rsid w:val="007478E9"/>
    <w:rsid w:val="00754862"/>
    <w:rsid w:val="007563F5"/>
    <w:rsid w:val="00767E13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328D7"/>
    <w:rsid w:val="00853212"/>
    <w:rsid w:val="008B53C6"/>
    <w:rsid w:val="008E6322"/>
    <w:rsid w:val="0091001C"/>
    <w:rsid w:val="00930786"/>
    <w:rsid w:val="00957B85"/>
    <w:rsid w:val="00960307"/>
    <w:rsid w:val="009A02EF"/>
    <w:rsid w:val="009A3A71"/>
    <w:rsid w:val="009B4225"/>
    <w:rsid w:val="009B4F40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82D70"/>
    <w:rsid w:val="00AA5560"/>
    <w:rsid w:val="00AB4E70"/>
    <w:rsid w:val="00AE3F1B"/>
    <w:rsid w:val="00AF4A88"/>
    <w:rsid w:val="00B14676"/>
    <w:rsid w:val="00B3232B"/>
    <w:rsid w:val="00B47565"/>
    <w:rsid w:val="00B722FA"/>
    <w:rsid w:val="00B7295E"/>
    <w:rsid w:val="00BB52E8"/>
    <w:rsid w:val="00C074FF"/>
    <w:rsid w:val="00CB17F1"/>
    <w:rsid w:val="00CD778D"/>
    <w:rsid w:val="00CE7019"/>
    <w:rsid w:val="00D06A61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151D"/>
    <w:rsid w:val="00E93827"/>
    <w:rsid w:val="00EA6FC2"/>
    <w:rsid w:val="00EE0D39"/>
    <w:rsid w:val="00EE48B2"/>
    <w:rsid w:val="00EE5C62"/>
    <w:rsid w:val="00EF324D"/>
    <w:rsid w:val="00F235A7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2019-08-23T11:03:00Z</dcterms:created>
  <dcterms:modified xsi:type="dcterms:W3CDTF">2019-09-05T11:42:00Z</dcterms:modified>
</cp:coreProperties>
</file>